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D9C" w:rsidRPr="00592832" w:rsidRDefault="00A00D9C" w:rsidP="00592832">
      <w:pPr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УДК 539.43:681.3: 629.7.083 </w:t>
      </w:r>
    </w:p>
    <w:p w:rsidR="00A00D9C" w:rsidRPr="00592832" w:rsidRDefault="00A00D9C" w:rsidP="00592832">
      <w:pPr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A00D9C" w:rsidRPr="00592832" w:rsidRDefault="00592832" w:rsidP="00592832">
      <w:pPr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Влияние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деградации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>свойств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ремонтной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заплаты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эффективность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клеевого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ремонта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авиационных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>конструкций</w:t>
      </w:r>
    </w:p>
    <w:p w:rsidR="00A00D9C" w:rsidRPr="00592832" w:rsidRDefault="00A00D9C" w:rsidP="00592832">
      <w:pPr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92832" w:rsidRPr="00592832" w:rsidRDefault="00A00D9C" w:rsidP="00592832">
      <w:pPr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Федотов </w:t>
      </w:r>
      <w:r w:rsidR="00592832">
        <w:rPr>
          <w:rFonts w:ascii="Times New Roman" w:hAnsi="Times New Roman" w:cs="Times New Roman"/>
          <w:sz w:val="28"/>
          <w:szCs w:val="28"/>
          <w:lang w:val="ru-RU"/>
        </w:rPr>
        <w:t>А.А.</w:t>
      </w:r>
      <w:r w:rsidR="00592832" w:rsidRPr="0059283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592832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A00D9C" w:rsidRPr="00592832" w:rsidRDefault="00A00D9C" w:rsidP="00592832">
      <w:pPr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592832">
        <w:rPr>
          <w:rFonts w:ascii="Times New Roman" w:hAnsi="Times New Roman" w:cs="Times New Roman"/>
          <w:sz w:val="28"/>
          <w:szCs w:val="28"/>
        </w:rPr>
        <w:t>Fedotov</w:t>
      </w:r>
      <w:proofErr w:type="spellEnd"/>
      <w:r w:rsidRPr="00592832">
        <w:rPr>
          <w:rFonts w:ascii="Times New Roman" w:hAnsi="Times New Roman" w:cs="Times New Roman"/>
          <w:sz w:val="28"/>
          <w:szCs w:val="28"/>
        </w:rPr>
        <w:t xml:space="preserve"> Alexey </w:t>
      </w:r>
      <w:proofErr w:type="spellStart"/>
      <w:r w:rsidRPr="00592832">
        <w:rPr>
          <w:rFonts w:ascii="Times New Roman" w:hAnsi="Times New Roman" w:cs="Times New Roman"/>
          <w:sz w:val="28"/>
          <w:szCs w:val="28"/>
        </w:rPr>
        <w:t>Alexandrovich</w:t>
      </w:r>
      <w:proofErr w:type="spellEnd"/>
    </w:p>
    <w:p w:rsidR="00592832" w:rsidRPr="00592832" w:rsidRDefault="00592832" w:rsidP="00592832">
      <w:pPr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00D9C" w:rsidRPr="00592832" w:rsidRDefault="00A00D9C" w:rsidP="00592832">
      <w:pPr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92832">
        <w:rPr>
          <w:rFonts w:ascii="Times New Roman" w:hAnsi="Times New Roman" w:cs="Times New Roman"/>
          <w:sz w:val="28"/>
          <w:szCs w:val="28"/>
        </w:rPr>
        <w:t>alexey.a.fedotov@inbox.ru</w:t>
      </w:r>
    </w:p>
    <w:p w:rsidR="00592832" w:rsidRPr="00592832" w:rsidRDefault="00592832" w:rsidP="00592832">
      <w:pPr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A00D9C" w:rsidRPr="00592832" w:rsidRDefault="00592832" w:rsidP="00592832">
      <w:pPr>
        <w:autoSpaceDE w:val="0"/>
        <w:autoSpaceDN w:val="0"/>
        <w:adjustRightInd w:val="0"/>
        <w:spacing w:line="360" w:lineRule="auto"/>
        <w:ind w:left="0"/>
        <w:rPr>
          <w:rFonts w:ascii="Times New Roman" w:hAnsi="Times New Roman" w:cs="Times New Roman"/>
          <w:bCs/>
          <w:i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="00A00D9C" w:rsidRPr="00592832">
        <w:rPr>
          <w:rFonts w:ascii="Times New Roman" w:hAnsi="Times New Roman" w:cs="Times New Roman"/>
          <w:bCs/>
          <w:i/>
          <w:sz w:val="28"/>
          <w:szCs w:val="28"/>
          <w:lang w:val="ru-RU"/>
        </w:rPr>
        <w:t>Московский авиационный институт (национальный исследовательский университет)</w:t>
      </w:r>
    </w:p>
    <w:p w:rsidR="00A00D9C" w:rsidRPr="00592832" w:rsidRDefault="00A00D9C" w:rsidP="00592832">
      <w:pPr>
        <w:autoSpaceDE w:val="0"/>
        <w:autoSpaceDN w:val="0"/>
        <w:adjustRightInd w:val="0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92832" w:rsidRDefault="00592832" w:rsidP="00592832">
      <w:pPr>
        <w:spacing w:line="360" w:lineRule="auto"/>
        <w:ind w:left="0" w:firstLine="709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Ан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н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отация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00D9C" w:rsidRPr="00592832" w:rsidRDefault="00A00D9C" w:rsidP="00592832">
      <w:p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В статье предложена методика построения аналитической модели клеевого ремонта алюминиевой обшивки композитными заплатами. Анализ эффективности ремонта проводится по величине роста размера повреждения в зависимости от числа циклов приложенной нагрузки. Приведены результаты расчета эффективности ремонта для </w:t>
      </w:r>
      <w:proofErr w:type="spellStart"/>
      <w:r w:rsidRPr="00592832">
        <w:rPr>
          <w:rFonts w:ascii="Times New Roman" w:hAnsi="Times New Roman" w:cs="Times New Roman"/>
          <w:sz w:val="28"/>
          <w:szCs w:val="28"/>
          <w:lang w:val="ru-RU"/>
        </w:rPr>
        <w:t>углепластиковой</w:t>
      </w:r>
      <w:proofErr w:type="spell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заплаты с учетом деградации упругих свойств материала, проведено сравнение эффективности ремонта заплатами, выполненными из различных материалов.</w:t>
      </w:r>
    </w:p>
    <w:p w:rsidR="00592832" w:rsidRPr="00592832" w:rsidRDefault="00A00D9C" w:rsidP="00592832">
      <w:p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b/>
          <w:i/>
          <w:sz w:val="28"/>
          <w:szCs w:val="28"/>
          <w:lang w:val="ru-RU"/>
        </w:rPr>
        <w:t>Ключевые слова:</w:t>
      </w:r>
      <w:r w:rsidRPr="0059283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A00D9C" w:rsidRPr="00592832" w:rsidRDefault="00A00D9C" w:rsidP="00592832">
      <w:p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>клеевой ремонт, аналитическая модель, деградация свойств композитов.</w:t>
      </w:r>
    </w:p>
    <w:p w:rsidR="00A00D9C" w:rsidRPr="00592832" w:rsidRDefault="00A00D9C" w:rsidP="00592832">
      <w:p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2832" w:rsidRPr="00592832" w:rsidRDefault="00592832" w:rsidP="00592832">
      <w:p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b/>
          <w:i/>
          <w:sz w:val="28"/>
          <w:szCs w:val="28"/>
        </w:rPr>
        <w:t>Abstract</w:t>
      </w:r>
      <w:r w:rsidRPr="00592832">
        <w:rPr>
          <w:rFonts w:ascii="Times New Roman" w:hAnsi="Times New Roman" w:cs="Times New Roman"/>
          <w:b/>
          <w:i/>
          <w:sz w:val="28"/>
          <w:szCs w:val="28"/>
          <w:lang w:val="ru-RU"/>
        </w:rPr>
        <w:t>:</w:t>
      </w:r>
    </w:p>
    <w:p w:rsidR="00A00D9C" w:rsidRPr="00592832" w:rsidRDefault="00A00D9C" w:rsidP="00592832">
      <w:pPr>
        <w:autoSpaceDE w:val="0"/>
        <w:autoSpaceDN w:val="0"/>
        <w:adjustRightInd w:val="0"/>
        <w:spacing w:line="33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2832">
        <w:rPr>
          <w:rFonts w:ascii="Times New Roman" w:hAnsi="Times New Roman" w:cs="Times New Roman"/>
          <w:sz w:val="28"/>
          <w:szCs w:val="28"/>
        </w:rPr>
        <w:t xml:space="preserve">The paper describes the method of the analytical model creation for the composite bonded repairs of aluminum skin. Repair effectiveness is </w:t>
      </w:r>
      <w:r w:rsidR="00571B98" w:rsidRPr="00592832">
        <w:rPr>
          <w:rFonts w:ascii="Times New Roman" w:hAnsi="Times New Roman" w:cs="Times New Roman"/>
          <w:sz w:val="28"/>
          <w:szCs w:val="28"/>
        </w:rPr>
        <w:t xml:space="preserve">assessed by means of damage growth rate per number of cycles of the applied load. Repair effectiveness calculation results for the case of composite bonded repair with carbon patch </w:t>
      </w:r>
      <w:r w:rsidR="00EF6B8A" w:rsidRPr="00592832">
        <w:rPr>
          <w:rFonts w:ascii="Times New Roman" w:hAnsi="Times New Roman" w:cs="Times New Roman"/>
          <w:sz w:val="28"/>
          <w:szCs w:val="28"/>
        </w:rPr>
        <w:t xml:space="preserve">affected by stiffness degradation </w:t>
      </w:r>
      <w:r w:rsidR="00571B98" w:rsidRPr="00592832">
        <w:rPr>
          <w:rFonts w:ascii="Times New Roman" w:hAnsi="Times New Roman" w:cs="Times New Roman"/>
          <w:sz w:val="28"/>
          <w:szCs w:val="28"/>
        </w:rPr>
        <w:t>are given.</w:t>
      </w:r>
      <w:r w:rsidR="00EF6B8A" w:rsidRPr="00592832">
        <w:rPr>
          <w:rFonts w:ascii="Times New Roman" w:hAnsi="Times New Roman" w:cs="Times New Roman"/>
          <w:sz w:val="28"/>
          <w:szCs w:val="28"/>
        </w:rPr>
        <w:t xml:space="preserve"> Comparison of the calculation results for the patched made of different materials is provided.</w:t>
      </w:r>
    </w:p>
    <w:p w:rsidR="00592832" w:rsidRPr="00592832" w:rsidRDefault="00592832" w:rsidP="00592832">
      <w:pPr>
        <w:autoSpaceDE w:val="0"/>
        <w:autoSpaceDN w:val="0"/>
        <w:adjustRightInd w:val="0"/>
        <w:spacing w:line="336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b/>
          <w:i/>
          <w:sz w:val="28"/>
          <w:szCs w:val="28"/>
        </w:rPr>
        <w:t>Key</w:t>
      </w:r>
      <w:r w:rsidR="00A00D9C" w:rsidRPr="00592832">
        <w:rPr>
          <w:rFonts w:ascii="Times New Roman" w:hAnsi="Times New Roman" w:cs="Times New Roman"/>
          <w:b/>
          <w:i/>
          <w:sz w:val="28"/>
          <w:szCs w:val="28"/>
        </w:rPr>
        <w:t>words:</w:t>
      </w:r>
      <w:r w:rsidR="00A00D9C" w:rsidRPr="0059283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00D9C" w:rsidRPr="00592832" w:rsidRDefault="00A00D9C" w:rsidP="00592832">
      <w:pPr>
        <w:autoSpaceDE w:val="0"/>
        <w:autoSpaceDN w:val="0"/>
        <w:adjustRightInd w:val="0"/>
        <w:spacing w:line="33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832">
        <w:rPr>
          <w:rFonts w:ascii="Times New Roman" w:hAnsi="Times New Roman" w:cs="Times New Roman"/>
          <w:sz w:val="28"/>
          <w:szCs w:val="28"/>
        </w:rPr>
        <w:t>bonded</w:t>
      </w:r>
      <w:proofErr w:type="gramEnd"/>
      <w:r w:rsidRPr="00592832">
        <w:rPr>
          <w:rFonts w:ascii="Times New Roman" w:hAnsi="Times New Roman" w:cs="Times New Roman"/>
          <w:sz w:val="28"/>
          <w:szCs w:val="28"/>
        </w:rPr>
        <w:t xml:space="preserve"> repair, analytical model, composite properties degradation.</w:t>
      </w:r>
    </w:p>
    <w:p w:rsidR="000B5718" w:rsidRPr="00592832" w:rsidRDefault="000B5718" w:rsidP="00592832">
      <w:pPr>
        <w:spacing w:line="336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324E2" w:rsidRPr="00592832" w:rsidRDefault="00592832" w:rsidP="00592832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3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Введение</w:t>
      </w:r>
    </w:p>
    <w:p w:rsidR="00877F77" w:rsidRPr="00592832" w:rsidRDefault="00877F77" w:rsidP="00592832">
      <w:pPr>
        <w:autoSpaceDE w:val="0"/>
        <w:autoSpaceDN w:val="0"/>
        <w:adjustRightInd w:val="0"/>
        <w:spacing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>Вопрос внедрения экономически целесообразных методов поддержания и восстановления летной годности воздушных судов (ВС), выполненных из</w:t>
      </w:r>
      <w:r w:rsidR="007324E2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алюминиевых сплавов и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полимерных композиционных материалов (ПКМ), встает все более остро в связи с ростом объемов авиаперевозок и повышения требований по регулярности выполнения полетов.</w:t>
      </w:r>
    </w:p>
    <w:p w:rsidR="00877F77" w:rsidRPr="00592832" w:rsidRDefault="00877F77" w:rsidP="00592832">
      <w:pPr>
        <w:autoSpaceDE w:val="0"/>
        <w:autoSpaceDN w:val="0"/>
        <w:adjustRightInd w:val="0"/>
        <w:spacing w:line="336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На современном этапе развития техники существует возможность </w:t>
      </w:r>
      <w:r w:rsidRPr="00592832">
        <w:rPr>
          <w:rFonts w:ascii="Times New Roman" w:hAnsi="Times New Roman" w:cs="Times New Roman"/>
          <w:spacing w:val="-4"/>
          <w:sz w:val="28"/>
          <w:szCs w:val="28"/>
          <w:lang w:val="ru-RU"/>
        </w:rPr>
        <w:t>реализовать технологию клеевого ремонта конструкций ВС заплатами из ПКМ, которая будет давать экономический эффект для эксплуатации существующих и перспективных летательных аппаратов гражданской авиации [1]. В качестве преимуще</w:t>
      </w:r>
      <w:proofErr w:type="gramStart"/>
      <w:r w:rsidRPr="00592832">
        <w:rPr>
          <w:rFonts w:ascii="Times New Roman" w:hAnsi="Times New Roman" w:cs="Times New Roman"/>
          <w:spacing w:val="-4"/>
          <w:sz w:val="28"/>
          <w:szCs w:val="28"/>
          <w:lang w:val="ru-RU"/>
        </w:rPr>
        <w:t>ств кл</w:t>
      </w:r>
      <w:proofErr w:type="gramEnd"/>
      <w:r w:rsidRPr="00592832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еевых ремонтов можно отметить [2]: </w:t>
      </w:r>
    </w:p>
    <w:p w:rsidR="00877F77" w:rsidRPr="00592832" w:rsidRDefault="00592832" w:rsidP="00592832">
      <w:pPr>
        <w:autoSpaceDE w:val="0"/>
        <w:autoSpaceDN w:val="0"/>
        <w:adjustRightInd w:val="0"/>
        <w:spacing w:line="336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877F77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увеличение ресурса выполненного ремонта по сравнению с аналогичным болтовым ремонтом – по причине отсутствия дополнительных отверстий под крепеж; </w:t>
      </w:r>
    </w:p>
    <w:p w:rsidR="00877F77" w:rsidRPr="00592832" w:rsidRDefault="00592832" w:rsidP="00592832">
      <w:pPr>
        <w:autoSpaceDE w:val="0"/>
        <w:autoSpaceDN w:val="0"/>
        <w:adjustRightInd w:val="0"/>
        <w:spacing w:line="336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877F77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снижение массы ремонтных накладок-заплат; </w:t>
      </w:r>
    </w:p>
    <w:p w:rsidR="00877F77" w:rsidRPr="00592832" w:rsidRDefault="00592832" w:rsidP="00592832">
      <w:pPr>
        <w:autoSpaceDE w:val="0"/>
        <w:autoSpaceDN w:val="0"/>
        <w:adjustRightInd w:val="0"/>
        <w:spacing w:line="336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877F77" w:rsidRPr="00592832">
        <w:rPr>
          <w:rFonts w:ascii="Times New Roman" w:hAnsi="Times New Roman" w:cs="Times New Roman"/>
          <w:sz w:val="28"/>
          <w:szCs w:val="28"/>
          <w:lang w:val="ru-RU"/>
        </w:rPr>
        <w:t>меньшее влияние на аэродинамику отремонтированных наружных поверхностей ВС.</w:t>
      </w:r>
    </w:p>
    <w:p w:rsidR="00877F77" w:rsidRPr="00592832" w:rsidRDefault="00877F77" w:rsidP="00592832">
      <w:pPr>
        <w:autoSpaceDE w:val="0"/>
        <w:autoSpaceDN w:val="0"/>
        <w:adjustRightInd w:val="0"/>
        <w:spacing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7324E2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задач проектирования ремонтных операций 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иметь расчетный </w:t>
      </w:r>
      <w:r w:rsidR="007324E2" w:rsidRPr="00592832">
        <w:rPr>
          <w:rFonts w:ascii="Times New Roman" w:hAnsi="Times New Roman" w:cs="Times New Roman"/>
          <w:sz w:val="28"/>
          <w:szCs w:val="28"/>
          <w:lang w:val="ru-RU"/>
        </w:rPr>
        <w:t>модуль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, который будет позволять </w:t>
      </w:r>
      <w:r w:rsidR="0085079F" w:rsidRPr="00592832">
        <w:rPr>
          <w:rFonts w:ascii="Times New Roman" w:hAnsi="Times New Roman" w:cs="Times New Roman"/>
          <w:sz w:val="28"/>
          <w:szCs w:val="28"/>
          <w:lang w:val="ru-RU"/>
        </w:rPr>
        <w:t>оценивать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напряженно-деформированное состояние (НДС) системы конструкция-клей-заплата </w:t>
      </w:r>
      <w:proofErr w:type="gramStart"/>
      <w:r w:rsidRPr="00592832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каждого случая повреждения и учитывать вероятность и скорость роста такого повреждения, а также принимать во внимание изменение свой</w:t>
      </w:r>
      <w:proofErr w:type="gramStart"/>
      <w:r w:rsidRPr="00592832">
        <w:rPr>
          <w:rFonts w:ascii="Times New Roman" w:hAnsi="Times New Roman" w:cs="Times New Roman"/>
          <w:sz w:val="28"/>
          <w:szCs w:val="28"/>
          <w:lang w:val="ru-RU"/>
        </w:rPr>
        <w:t>ств пр</w:t>
      </w:r>
      <w:proofErr w:type="gram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имененных материалов. </w:t>
      </w:r>
      <w:r w:rsidR="00354F66" w:rsidRPr="0059283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>остроен</w:t>
      </w:r>
      <w:r w:rsidR="00354F66" w:rsidRPr="00592832">
        <w:rPr>
          <w:rFonts w:ascii="Times New Roman" w:hAnsi="Times New Roman" w:cs="Times New Roman"/>
          <w:sz w:val="28"/>
          <w:szCs w:val="28"/>
          <w:lang w:val="ru-RU"/>
        </w:rPr>
        <w:t>ный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расчетн</w:t>
      </w:r>
      <w:r w:rsidR="00354F66" w:rsidRPr="00592832">
        <w:rPr>
          <w:rFonts w:ascii="Times New Roman" w:hAnsi="Times New Roman" w:cs="Times New Roman"/>
          <w:sz w:val="28"/>
          <w:szCs w:val="28"/>
          <w:lang w:val="ru-RU"/>
        </w:rPr>
        <w:t>ый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324E2" w:rsidRPr="00592832">
        <w:rPr>
          <w:rFonts w:ascii="Times New Roman" w:hAnsi="Times New Roman" w:cs="Times New Roman"/>
          <w:sz w:val="28"/>
          <w:szCs w:val="28"/>
          <w:lang w:val="ru-RU"/>
        </w:rPr>
        <w:t>модул</w:t>
      </w:r>
      <w:r w:rsidR="00354F66" w:rsidRPr="00592832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54F66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имеющий 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в основе </w:t>
      </w:r>
      <w:r w:rsidR="00EA33C7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метод 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>инклюзии ([</w:t>
      </w:r>
      <w:r w:rsidR="007324E2" w:rsidRPr="0059283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>] – [4])</w:t>
      </w:r>
      <w:r w:rsidR="00354F66" w:rsidRPr="0059283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позволяет построить относительно простую и достаточно точную для предварительных проектировочных расчетов аналитическую модель клеевого ремонтного 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соединения</w:t>
      </w:r>
      <w:r w:rsidR="00354F66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и оценить эффективность ремонта при учете данных по деформации свойств ремонтной заплаты из ПКМ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77F77" w:rsidRPr="00592832" w:rsidRDefault="00877F77" w:rsidP="00592832">
      <w:pPr>
        <w:autoSpaceDE w:val="0"/>
        <w:autoSpaceDN w:val="0"/>
        <w:adjustRightInd w:val="0"/>
        <w:spacing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24E2" w:rsidRPr="00592832" w:rsidRDefault="00592832" w:rsidP="00592832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3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Моделирование клеевого ремонта</w:t>
      </w:r>
    </w:p>
    <w:p w:rsidR="007324E2" w:rsidRPr="00592832" w:rsidRDefault="006A63C7" w:rsidP="00592832">
      <w:pPr>
        <w:pStyle w:val="a3"/>
        <w:autoSpaceDE w:val="0"/>
        <w:autoSpaceDN w:val="0"/>
        <w:adjustRightInd w:val="0"/>
        <w:spacing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Для расчета клеевого ремонта схема соединения разбивается на две области – металлическая пластина с отверстием по форме приклеенной заплаты и составная пластина «заплата – клеевой слой – обшивка». </w:t>
      </w:r>
      <w:proofErr w:type="gramStart"/>
      <w:r w:rsidRPr="00592832">
        <w:rPr>
          <w:rFonts w:ascii="Times New Roman" w:hAnsi="Times New Roman" w:cs="Times New Roman"/>
          <w:sz w:val="28"/>
          <w:szCs w:val="28"/>
          <w:lang w:val="ru-RU"/>
        </w:rPr>
        <w:t>Для алгоритмизации процесса расчета принимается, что на первом этапе производится оценка влияния ремонтной заплаты на НДС обшивки и схему распределения внутренних усилий между обшивкой и заплатой при отсутствии повреждений, а на втором этапе расчета определяется характер развития повреждения как реакция на новое НДС обшивки из-за присутствия приклеенной заплаты – производится расчет коэффициентов интенсивности напряжений (КИН) в поврежденной обшивке методами механики разрушения</w:t>
      </w:r>
      <w:proofErr w:type="gramEnd"/>
      <w:r w:rsidRPr="0059283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2BEB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Укрупненная блок-схема расчетного модуля клеевого ремонтного соединения представлена на рис. 1.</w:t>
      </w:r>
    </w:p>
    <w:p w:rsidR="000B5718" w:rsidRPr="00592832" w:rsidRDefault="000B5718" w:rsidP="00592832">
      <w:pPr>
        <w:pStyle w:val="a3"/>
        <w:autoSpaceDE w:val="0"/>
        <w:autoSpaceDN w:val="0"/>
        <w:adjustRightInd w:val="0"/>
        <w:spacing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B5718" w:rsidRPr="00592832" w:rsidRDefault="00CD2722" w:rsidP="00592832">
      <w:pPr>
        <w:pStyle w:val="a3"/>
        <w:keepNext/>
        <w:autoSpaceDE w:val="0"/>
        <w:autoSpaceDN w:val="0"/>
        <w:adjustRightInd w:val="0"/>
        <w:spacing w:line="360" w:lineRule="auto"/>
        <w:ind w:left="0"/>
        <w:jc w:val="center"/>
        <w:rPr>
          <w:sz w:val="28"/>
          <w:szCs w:val="28"/>
        </w:rPr>
      </w:pPr>
      <w:r w:rsidRPr="005928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B5CFC6B" wp14:editId="694C7CB8">
            <wp:extent cx="5364000" cy="2614388"/>
            <wp:effectExtent l="0" t="0" r="8255" b="0"/>
            <wp:docPr id="3" name="Рисунок 1" descr="Презентаци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езентация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61" t="15479" r="3479" b="4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000" cy="2614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260" w:rsidRPr="00592832" w:rsidRDefault="000B5718" w:rsidP="00592832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</w:pP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>Рис</w:t>
      </w:r>
      <w:r w:rsidR="00592832"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>.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begin"/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instrText>SEQ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Рисунок \*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instrText>ARABIC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separate"/>
      </w:r>
      <w:r w:rsidR="00F24BEE" w:rsidRPr="00592832">
        <w:rPr>
          <w:rFonts w:ascii="Times New Roman" w:hAnsi="Times New Roman" w:cs="Times New Roman"/>
          <w:i w:val="0"/>
          <w:noProof/>
          <w:color w:val="auto"/>
          <w:sz w:val="24"/>
          <w:szCs w:val="28"/>
          <w:lang w:val="ru-RU"/>
        </w:rPr>
        <w:t>1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end"/>
      </w:r>
      <w:r w:rsidR="00592832"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</w:t>
      </w:r>
      <w:r w:rsidR="00592832" w:rsidRPr="00592832">
        <w:rPr>
          <w:rFonts w:ascii="Times New Roman" w:hAnsi="Times New Roman"/>
          <w:sz w:val="24"/>
          <w:szCs w:val="28"/>
        </w:rPr>
        <w:t>–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Блок-схема расчетного модуля</w:t>
      </w:r>
    </w:p>
    <w:p w:rsidR="006A63C7" w:rsidRPr="00592832" w:rsidRDefault="000B5718" w:rsidP="00592832">
      <w:pPr>
        <w:pStyle w:val="a3"/>
        <w:numPr>
          <w:ilvl w:val="1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A63C7" w:rsidRPr="00592832">
        <w:rPr>
          <w:rFonts w:ascii="Times New Roman" w:hAnsi="Times New Roman" w:cs="Times New Roman"/>
          <w:sz w:val="28"/>
          <w:szCs w:val="28"/>
          <w:lang w:val="ru-RU"/>
        </w:rPr>
        <w:t>Расчет НДС клеево</w:t>
      </w:r>
      <w:r w:rsidR="00592832">
        <w:rPr>
          <w:rFonts w:ascii="Times New Roman" w:hAnsi="Times New Roman" w:cs="Times New Roman"/>
          <w:sz w:val="28"/>
          <w:szCs w:val="28"/>
          <w:lang w:val="ru-RU"/>
        </w:rPr>
        <w:t>й системы без учета повреждения</w:t>
      </w:r>
    </w:p>
    <w:p w:rsidR="006A63C7" w:rsidRDefault="006A63C7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>Расчет НДС производится отдельно для пластины с отверстием и для инклюзии с последующей стыковкой решений по условиям совместности деформаций. НДС будет задаваться наличием внешних механических и температурных нагрузок. Установка ремонтной заплаты лишь с одной стороны обшивки приводит к появлению дополнительного изгибающего момента в клеевом соединении, что обуславливает возникновение переменных по толщине материала механических напряжений, которые рассматриваются как суперпозиция изгибных и мембранных компонент.</w:t>
      </w:r>
    </w:p>
    <w:p w:rsidR="00592832" w:rsidRPr="00592832" w:rsidRDefault="00592832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33C7" w:rsidRPr="00592832" w:rsidRDefault="000B5718" w:rsidP="00592832">
      <w:pPr>
        <w:pStyle w:val="a3"/>
        <w:numPr>
          <w:ilvl w:val="1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A33C7" w:rsidRPr="00592832">
        <w:rPr>
          <w:rFonts w:ascii="Times New Roman" w:hAnsi="Times New Roman" w:cs="Times New Roman"/>
          <w:sz w:val="28"/>
          <w:szCs w:val="28"/>
          <w:lang w:val="ru-RU"/>
        </w:rPr>
        <w:t>Определение КИН</w:t>
      </w:r>
      <w:r w:rsidR="00592832">
        <w:rPr>
          <w:rFonts w:ascii="Times New Roman" w:hAnsi="Times New Roman" w:cs="Times New Roman"/>
          <w:sz w:val="28"/>
          <w:szCs w:val="28"/>
          <w:lang w:val="ru-RU"/>
        </w:rPr>
        <w:t xml:space="preserve"> в обшивке с учетом повреждения</w:t>
      </w:r>
    </w:p>
    <w:p w:rsidR="00EA33C7" w:rsidRPr="00592832" w:rsidRDefault="00EA33C7" w:rsidP="00592832">
      <w:p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На основе </w:t>
      </w:r>
      <w:proofErr w:type="gramStart"/>
      <w:r w:rsidRPr="00592832">
        <w:rPr>
          <w:rFonts w:ascii="Times New Roman" w:hAnsi="Times New Roman" w:cs="Times New Roman"/>
          <w:sz w:val="28"/>
          <w:szCs w:val="28"/>
          <w:lang w:val="ru-RU"/>
        </w:rPr>
        <w:t>полученных</w:t>
      </w:r>
      <w:proofErr w:type="gram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на предыдущем этапе величин напряжений производится расчет КИН в вершине трещины в обшивке для определения возможности и параметров роста этой трещины. Наличие ремонтной заплаты моделируется при помощи набора упругих «пружин», перекрывающих трещину и соединяющих ее берега [5]. Средние и изгибные напряжения принимаются </w:t>
      </w:r>
      <w:proofErr w:type="gramStart"/>
      <w:r w:rsidRPr="00592832">
        <w:rPr>
          <w:rFonts w:ascii="Times New Roman" w:hAnsi="Times New Roman" w:cs="Times New Roman"/>
          <w:sz w:val="28"/>
          <w:szCs w:val="28"/>
          <w:lang w:val="ru-RU"/>
        </w:rPr>
        <w:t>постоянными</w:t>
      </w:r>
      <w:proofErr w:type="gram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вдоль линии трещины и равными своим значениям в центре обшивки в точке начала координат. </w:t>
      </w:r>
    </w:p>
    <w:p w:rsidR="00EA33C7" w:rsidRPr="00592832" w:rsidRDefault="00EA33C7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КИН в вершине повреждения (трещины) будет определяться вкладом мембранной и изгибной </w:t>
      </w:r>
      <w:r w:rsidR="00691902" w:rsidRPr="00592832">
        <w:rPr>
          <w:rFonts w:ascii="Times New Roman" w:hAnsi="Times New Roman" w:cs="Times New Roman"/>
          <w:sz w:val="28"/>
          <w:szCs w:val="28"/>
          <w:lang w:val="ru-RU"/>
        </w:rPr>
        <w:t>составляющих. Вычисление значений этих составляющих КИН в вершине трещины производится из решения интегрального уравнения, содержащего интеграл типа Коши. Решение полученной системы проводится по методу Галеркина с разложением неизвестных функций в полиномы Чебышёва.</w:t>
      </w:r>
    </w:p>
    <w:p w:rsidR="00592832" w:rsidRDefault="00592832" w:rsidP="00592832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66622" w:rsidRPr="00592832" w:rsidRDefault="000B5718" w:rsidP="00592832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2.3. </w:t>
      </w:r>
      <w:r w:rsidR="00266622" w:rsidRPr="00592832">
        <w:rPr>
          <w:rFonts w:ascii="Times New Roman" w:hAnsi="Times New Roman" w:cs="Times New Roman"/>
          <w:sz w:val="28"/>
          <w:szCs w:val="28"/>
          <w:lang w:val="ru-RU"/>
        </w:rPr>
        <w:t>Анализ деградации упругих свойств материала заплаты.</w:t>
      </w:r>
    </w:p>
    <w:p w:rsidR="00266622" w:rsidRPr="00592832" w:rsidRDefault="00266622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Развитие повреждения в алюминиевой обшивке задается циклически приложенной к обшивке нагрузкой и усталостными свойствами материала обшивки, которые определяются на основе серии стандартизованных испытаний. В ремонтном соединении часть нагрузки ослабленной повреждением обшивки воспринимается заплатой; очевидно, что в этом случае нагрузка на заплату также будет иметь циклический характер. Одним из основных факторов, принципиально влияющих на эффективность ремонта, является деградация упругих свойств ремонтной заплаты от воздействия циклической нагрузки. </w:t>
      </w:r>
    </w:p>
    <w:p w:rsidR="00A86C6D" w:rsidRPr="00592832" w:rsidRDefault="00266622" w:rsidP="00592832">
      <w:pPr>
        <w:spacing w:line="360" w:lineRule="auto"/>
        <w:ind w:left="0" w:firstLine="709"/>
        <w:jc w:val="both"/>
        <w:rPr>
          <w:rFonts w:ascii="Times New Roman" w:eastAsia="MS Mincho" w:hAnsi="Times New Roman" w:cs="Times New Roman"/>
          <w:bCs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На основании проведенных экспериментальных исследований удалось установить зависимость продольного модуля упругости </w:t>
      </w:r>
      <w:proofErr w:type="spellStart"/>
      <w:r w:rsidRPr="00592832">
        <w:rPr>
          <w:rFonts w:ascii="Times New Roman" w:hAnsi="Times New Roman" w:cs="Times New Roman"/>
          <w:sz w:val="28"/>
          <w:szCs w:val="28"/>
          <w:lang w:val="ru-RU"/>
        </w:rPr>
        <w:t>углепластиковой</w:t>
      </w:r>
      <w:proofErr w:type="spell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заплаты от числа циклов </w:t>
      </w:r>
      <w:proofErr w:type="spellStart"/>
      <w:r w:rsidRPr="00592832">
        <w:rPr>
          <w:rFonts w:ascii="Times New Roman" w:hAnsi="Times New Roman" w:cs="Times New Roman"/>
          <w:sz w:val="28"/>
          <w:szCs w:val="28"/>
          <w:lang w:val="ru-RU"/>
        </w:rPr>
        <w:t>нагружения</w:t>
      </w:r>
      <w:proofErr w:type="spellEnd"/>
      <w:r w:rsidRPr="0059283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86C6D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Испытания проводились при трех значениях температуры (-60С, +23С, +80С) с применением климатической камеры. </w:t>
      </w:r>
      <w:r w:rsidR="00A86C6D"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После статистической обработки данных по величинам деформаций при трех температурах были получены аналитические зависимости, удовлетворяющие результатам испытаний. Все три серии испытаний показали быстрое возрастание продольных деформаций на начальном участке </w:t>
      </w:r>
      <w:proofErr w:type="spellStart"/>
      <w:r w:rsidR="00A86C6D"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>нагружения</w:t>
      </w:r>
      <w:proofErr w:type="spellEnd"/>
      <w:r w:rsidR="00A86C6D"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 в пределах 500 циклов и более пологое изменение величины деформации вплоть до окончания времени испытаний в 10</w:t>
      </w:r>
      <w:r w:rsidR="00A86C6D" w:rsidRPr="00592832">
        <w:rPr>
          <w:rFonts w:ascii="Times New Roman" w:eastAsia="MS Mincho" w:hAnsi="Times New Roman" w:cs="Times New Roman"/>
          <w:bCs/>
          <w:sz w:val="28"/>
          <w:szCs w:val="28"/>
          <w:vertAlign w:val="superscript"/>
          <w:lang w:val="ru-RU"/>
        </w:rPr>
        <w:t>5</w:t>
      </w:r>
      <w:r w:rsidR="00A86C6D"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 циклов. С наименьшей дисперсией результаты испытаний аппроксимируются зависимостью вида:</w:t>
      </w:r>
    </w:p>
    <w:p w:rsidR="00A86C6D" w:rsidRPr="00592832" w:rsidRDefault="000B5718" w:rsidP="00592832">
      <w:pPr>
        <w:spacing w:line="360" w:lineRule="auto"/>
        <w:ind w:left="0" w:firstLine="709"/>
        <w:jc w:val="center"/>
        <w:rPr>
          <w:rFonts w:ascii="Times New Roman" w:eastAsia="MS Mincho" w:hAnsi="Times New Roman" w:cs="Times New Roman"/>
          <w:bCs/>
          <w:sz w:val="28"/>
          <w:szCs w:val="28"/>
          <w:lang w:val="ru-RU"/>
        </w:rPr>
      </w:pPr>
      <w:r w:rsidRPr="00592832">
        <w:rPr>
          <w:rFonts w:ascii="Times New Roman" w:eastAsia="MS Mincho" w:hAnsi="Times New Roman" w:cs="Times New Roman"/>
          <w:bCs/>
          <w:position w:val="-12"/>
          <w:sz w:val="28"/>
          <w:szCs w:val="28"/>
        </w:rPr>
        <w:object w:dxaOrig="376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2pt;height:22.35pt" o:ole="">
            <v:imagedata r:id="rId9" o:title=""/>
          </v:shape>
          <o:OLEObject Type="Embed" ProgID="Equation.3" ShapeID="_x0000_i1025" DrawAspect="Content" ObjectID="_1563087546" r:id="rId10"/>
        </w:object>
      </w:r>
      <w:r w:rsidR="00A86C6D"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 при </w:t>
      </w:r>
      <w:r w:rsidRPr="00592832">
        <w:rPr>
          <w:rFonts w:ascii="Times New Roman" w:eastAsia="MS Mincho" w:hAnsi="Times New Roman" w:cs="Times New Roman"/>
          <w:bCs/>
          <w:position w:val="-6"/>
          <w:sz w:val="28"/>
          <w:szCs w:val="28"/>
        </w:rPr>
        <w:object w:dxaOrig="1380" w:dyaOrig="300">
          <v:shape id="_x0000_i1026" type="#_x0000_t75" style="width:69.25pt;height:15.8pt" o:ole="">
            <v:imagedata r:id="rId11" o:title=""/>
          </v:shape>
          <o:OLEObject Type="Embed" ProgID="Equation.3" ShapeID="_x0000_i1026" DrawAspect="Content" ObjectID="_1563087547" r:id="rId12"/>
        </w:object>
      </w:r>
      <w:r w:rsidR="00A86C6D"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>;</w:t>
      </w:r>
    </w:p>
    <w:p w:rsidR="00A86C6D" w:rsidRPr="00592832" w:rsidRDefault="000B5718" w:rsidP="00592832">
      <w:pPr>
        <w:spacing w:line="360" w:lineRule="auto"/>
        <w:ind w:left="0" w:firstLine="709"/>
        <w:jc w:val="center"/>
        <w:rPr>
          <w:rFonts w:ascii="Times New Roman" w:eastAsia="MS Mincho" w:hAnsi="Times New Roman" w:cs="Times New Roman"/>
          <w:bCs/>
          <w:sz w:val="28"/>
          <w:szCs w:val="28"/>
          <w:lang w:val="ru-RU"/>
        </w:rPr>
      </w:pPr>
      <w:r w:rsidRPr="00592832">
        <w:rPr>
          <w:rFonts w:ascii="Times New Roman" w:eastAsia="MS Mincho" w:hAnsi="Times New Roman" w:cs="Times New Roman"/>
          <w:bCs/>
          <w:position w:val="-12"/>
          <w:sz w:val="28"/>
          <w:szCs w:val="28"/>
        </w:rPr>
        <w:object w:dxaOrig="3480" w:dyaOrig="440">
          <v:shape id="_x0000_i1027" type="#_x0000_t75" style="width:173.45pt;height:22.35pt" o:ole="">
            <v:imagedata r:id="rId13" o:title=""/>
          </v:shape>
          <o:OLEObject Type="Embed" ProgID="Equation.3" ShapeID="_x0000_i1027" DrawAspect="Content" ObjectID="_1563087548" r:id="rId14"/>
        </w:object>
      </w:r>
      <w:r w:rsidR="00A86C6D"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при </w:t>
      </w:r>
      <w:r w:rsidRPr="00592832">
        <w:rPr>
          <w:rFonts w:ascii="Times New Roman" w:eastAsia="MS Mincho" w:hAnsi="Times New Roman" w:cs="Times New Roman"/>
          <w:bCs/>
          <w:position w:val="-6"/>
          <w:sz w:val="28"/>
          <w:szCs w:val="28"/>
        </w:rPr>
        <w:object w:dxaOrig="999" w:dyaOrig="300">
          <v:shape id="_x0000_i1028" type="#_x0000_t75" style="width:50.2pt;height:15.8pt" o:ole="">
            <v:imagedata r:id="rId15" o:title=""/>
          </v:shape>
          <o:OLEObject Type="Embed" ProgID="Equation.3" ShapeID="_x0000_i1028" DrawAspect="Content" ObjectID="_1563087549" r:id="rId16"/>
        </w:object>
      </w:r>
      <w:r w:rsidR="00A86C6D"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>.</w:t>
      </w:r>
    </w:p>
    <w:p w:rsidR="00266622" w:rsidRPr="00592832" w:rsidRDefault="00A86C6D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где </w:t>
      </w:r>
      <w:r w:rsidRPr="00592832">
        <w:rPr>
          <w:rFonts w:ascii="Times New Roman" w:eastAsia="MS Mincho" w:hAnsi="Times New Roman" w:cs="Times New Roman"/>
          <w:bCs/>
          <w:i/>
          <w:sz w:val="28"/>
          <w:szCs w:val="28"/>
        </w:rPr>
        <w:t>N</w:t>
      </w:r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 – число циклов </w:t>
      </w:r>
      <w:proofErr w:type="spellStart"/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>нагружения</w:t>
      </w:r>
      <w:proofErr w:type="spellEnd"/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; </w:t>
      </w:r>
      <w:r w:rsidR="000B5718" w:rsidRPr="00592832">
        <w:rPr>
          <w:rFonts w:ascii="Times New Roman" w:hAnsi="Times New Roman" w:cs="Times New Roman"/>
          <w:position w:val="-12"/>
          <w:sz w:val="28"/>
          <w:szCs w:val="28"/>
        </w:rPr>
        <w:object w:dxaOrig="340" w:dyaOrig="440">
          <v:shape id="_x0000_i1029" type="#_x0000_t75" style="width:17.45pt;height:21.8pt" o:ole="">
            <v:imagedata r:id="rId17" o:title=""/>
          </v:shape>
          <o:OLEObject Type="Embed" ProgID="Equation.3" ShapeID="_x0000_i1029" DrawAspect="Content" ObjectID="_1563087550" r:id="rId18"/>
        </w:objec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средний модуль продольной упругости на первом цикле </w:t>
      </w:r>
      <w:proofErr w:type="spellStart"/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>нагружения</w:t>
      </w:r>
      <w:proofErr w:type="spellEnd"/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, </w:t>
      </w:r>
      <w:r w:rsidR="000B5718" w:rsidRPr="00592832">
        <w:rPr>
          <w:rFonts w:ascii="Times New Roman" w:hAnsi="Times New Roman" w:cs="Times New Roman"/>
          <w:position w:val="-12"/>
          <w:sz w:val="28"/>
          <w:szCs w:val="28"/>
        </w:rPr>
        <w:object w:dxaOrig="560" w:dyaOrig="440">
          <v:shape id="_x0000_i1030" type="#_x0000_t75" style="width:28.35pt;height:21.8pt" o:ole="">
            <v:imagedata r:id="rId19" o:title=""/>
          </v:shape>
          <o:OLEObject Type="Embed" ProgID="Equation.3" ShapeID="_x0000_i1030" DrawAspect="Content" ObjectID="_1563087551" r:id="rId20"/>
        </w:objec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– средний модуль продольной упругости на 500-ом цикле </w:t>
      </w:r>
      <w:proofErr w:type="spellStart"/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>нагружения</w:t>
      </w:r>
      <w:proofErr w:type="spellEnd"/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, </w:t>
      </w:r>
      <w:r w:rsidR="000B5718" w:rsidRPr="00592832">
        <w:rPr>
          <w:rFonts w:ascii="Times New Roman" w:eastAsia="MS Mincho" w:hAnsi="Times New Roman" w:cs="Times New Roman"/>
          <w:bCs/>
          <w:position w:val="-12"/>
          <w:sz w:val="28"/>
          <w:szCs w:val="28"/>
        </w:rPr>
        <w:object w:dxaOrig="620" w:dyaOrig="380">
          <v:shape id="_x0000_i1031" type="#_x0000_t75" style="width:31.65pt;height:19.65pt" o:ole="">
            <v:imagedata r:id="rId21" o:title=""/>
          </v:shape>
          <o:OLEObject Type="Embed" ProgID="Equation.3" ShapeID="_x0000_i1031" DrawAspect="Content" ObjectID="_1563087552" r:id="rId22"/>
        </w:object>
      </w:r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 – эмпирические параметры зависимости.</w:t>
      </w:r>
    </w:p>
    <w:p w:rsidR="00266622" w:rsidRPr="00592832" w:rsidRDefault="00A22BEB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Графики аппроксимирующих зависимостей, приведенные к значению модуля упругости на первом цикле </w:t>
      </w:r>
      <w:proofErr w:type="spellStart"/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>нагружения</w:t>
      </w:r>
      <w:proofErr w:type="spellEnd"/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 xml:space="preserve"> </w:t>
      </w:r>
      <w:r w:rsidR="000B5718" w:rsidRPr="00592832">
        <w:rPr>
          <w:rFonts w:ascii="Times New Roman" w:hAnsi="Times New Roman" w:cs="Times New Roman"/>
          <w:position w:val="-12"/>
          <w:sz w:val="28"/>
          <w:szCs w:val="28"/>
        </w:rPr>
        <w:object w:dxaOrig="340" w:dyaOrig="440">
          <v:shape id="_x0000_i1032" type="#_x0000_t75" style="width:17.45pt;height:21.8pt" o:ole="">
            <v:imagedata r:id="rId23" o:title=""/>
          </v:shape>
          <o:OLEObject Type="Embed" ProgID="Equation.3" ShapeID="_x0000_i1032" DrawAspect="Content" ObjectID="_1563087553" r:id="rId24"/>
        </w:object>
      </w:r>
      <w:r w:rsidRPr="00592832">
        <w:rPr>
          <w:rFonts w:ascii="Times New Roman" w:eastAsia="MS Mincho" w:hAnsi="Times New Roman" w:cs="Times New Roman"/>
          <w:bCs/>
          <w:sz w:val="28"/>
          <w:szCs w:val="28"/>
          <w:lang w:val="ru-RU"/>
        </w:rPr>
        <w:t>, показаны на рис. 2 (а, б).</w:t>
      </w:r>
    </w:p>
    <w:p w:rsidR="006A63C7" w:rsidRPr="00592832" w:rsidRDefault="00A22BEB" w:rsidP="00592832">
      <w:pPr>
        <w:pStyle w:val="a3"/>
        <w:autoSpaceDE w:val="0"/>
        <w:autoSpaceDN w:val="0"/>
        <w:adjustRightInd w:val="0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 w:rsidRPr="005928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659959B" wp14:editId="25CD3154">
            <wp:extent cx="4354168" cy="2504679"/>
            <wp:effectExtent l="19050" t="0" r="8282" b="0"/>
            <wp:docPr id="73" name="Рисунок 73" descr="Рис 7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Рис 7а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168" cy="2504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0B5718" w:rsidRPr="00592832" w:rsidRDefault="00A22BEB" w:rsidP="00592832">
      <w:pPr>
        <w:pStyle w:val="a3"/>
        <w:keepNext/>
        <w:autoSpaceDE w:val="0"/>
        <w:autoSpaceDN w:val="0"/>
        <w:adjustRightInd w:val="0"/>
        <w:spacing w:line="360" w:lineRule="auto"/>
        <w:ind w:left="0"/>
        <w:jc w:val="center"/>
        <w:rPr>
          <w:sz w:val="28"/>
          <w:szCs w:val="28"/>
        </w:rPr>
      </w:pPr>
      <w:r w:rsidRPr="005928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BEA2B12" wp14:editId="71833D49">
            <wp:extent cx="4458417" cy="2552368"/>
            <wp:effectExtent l="19050" t="0" r="0" b="0"/>
            <wp:docPr id="76" name="Рисунок 76" descr="Рис 7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Рис 7б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1044" cy="255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BEB" w:rsidRPr="00592832" w:rsidRDefault="000B5718" w:rsidP="00592832">
      <w:pPr>
        <w:pStyle w:val="a7"/>
        <w:spacing w:after="0" w:line="276" w:lineRule="auto"/>
        <w:ind w:left="0"/>
        <w:jc w:val="center"/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</w:pP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>Рис</w:t>
      </w:r>
      <w:r w:rsidR="00592832"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>.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begin"/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instrText>SEQ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Рисунок \*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instrText>ARABIC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separate"/>
      </w:r>
      <w:r w:rsidR="00F24BEE" w:rsidRPr="00592832">
        <w:rPr>
          <w:rFonts w:ascii="Times New Roman" w:hAnsi="Times New Roman" w:cs="Times New Roman"/>
          <w:i w:val="0"/>
          <w:noProof/>
          <w:color w:val="auto"/>
          <w:sz w:val="24"/>
          <w:szCs w:val="28"/>
          <w:lang w:val="ru-RU"/>
        </w:rPr>
        <w:t>2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end"/>
      </w:r>
      <w:r w:rsidR="00592832"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</w:t>
      </w:r>
      <w:r w:rsidR="00592832" w:rsidRPr="00592832">
        <w:rPr>
          <w:rFonts w:ascii="Times New Roman" w:hAnsi="Times New Roman"/>
          <w:sz w:val="24"/>
          <w:szCs w:val="28"/>
          <w:lang w:val="ru-RU"/>
        </w:rPr>
        <w:t>–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Изменение продольного модуля упругости углепластика </w:t>
      </w:r>
      <w:r w:rsid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br/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при </w:t>
      </w:r>
      <w:proofErr w:type="gramStart"/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>циклическом</w:t>
      </w:r>
      <w:proofErr w:type="gramEnd"/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</w:t>
      </w:r>
      <w:proofErr w:type="spellStart"/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>нагружении</w:t>
      </w:r>
      <w:proofErr w:type="spellEnd"/>
    </w:p>
    <w:p w:rsidR="007324E2" w:rsidRPr="00592832" w:rsidRDefault="007324E2" w:rsidP="00592832">
      <w:pPr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24E2" w:rsidRPr="00592832" w:rsidRDefault="005374E1" w:rsidP="00592832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b/>
          <w:sz w:val="28"/>
          <w:szCs w:val="28"/>
          <w:lang w:val="ru-RU"/>
        </w:rPr>
        <w:t>Результаты анализа</w:t>
      </w:r>
      <w:r w:rsidR="005928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эффективности клеевого ремонта</w:t>
      </w:r>
    </w:p>
    <w:p w:rsidR="005374E1" w:rsidRDefault="005374E1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>Эффективность ремонта оценивается по степени замедления роста повреждения (трещины) в исходном материале по сравнению со случаем, когда ремонтная заплата отсутствует [</w:t>
      </w:r>
      <w:r w:rsidR="00AF3364" w:rsidRPr="00592832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>]. Для анализа эффективности построены графики зависимости размера трещины от числа циклов нагрузки</w:t>
      </w:r>
      <w:r w:rsidR="00FB79AA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79AA" w:rsidRPr="00592832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140" w:dyaOrig="360">
          <v:shape id="_x0000_i1033" type="#_x0000_t75" style="width:56.2pt;height:18pt" o:ole="">
            <v:imagedata r:id="rId27" o:title=""/>
          </v:shape>
          <o:OLEObject Type="Embed" ProgID="Equation.3" ShapeID="_x0000_i1033" DrawAspect="Content" ObjectID="_1563087554" r:id="rId28"/>
        </w:object>
      </w:r>
      <w:r w:rsidR="00FB79AA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для обшивки, выполненной из алюминиевого сплава 7075-Т6, и композитных заплат диаметром 150 мм с </w:t>
      </w:r>
      <w:proofErr w:type="spellStart"/>
      <w:r w:rsidRPr="00592832">
        <w:rPr>
          <w:rFonts w:ascii="Times New Roman" w:hAnsi="Times New Roman" w:cs="Times New Roman"/>
          <w:sz w:val="28"/>
          <w:szCs w:val="28"/>
          <w:lang w:val="ru-RU"/>
        </w:rPr>
        <w:t>квазиизотропной</w:t>
      </w:r>
      <w:proofErr w:type="spell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укладкой, выполненных из угле-, стекл</w:t>
      </w:r>
      <w:proofErr w:type="gramStart"/>
      <w:r w:rsidRPr="00592832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592832">
        <w:rPr>
          <w:rFonts w:ascii="Times New Roman" w:hAnsi="Times New Roman" w:cs="Times New Roman"/>
          <w:sz w:val="28"/>
          <w:szCs w:val="28"/>
          <w:lang w:val="ru-RU"/>
        </w:rPr>
        <w:t>боропластика</w:t>
      </w:r>
      <w:proofErr w:type="spell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с эпоксидным связующим, а также из гибридного металл-полимерного материала GLARE 2-3/2-0.2 (0/0). Начальный размер повреждения – 10 мм. Диапазон нагрузки: </w:t>
      </w:r>
      <w:r w:rsidR="00FB79AA" w:rsidRPr="00592832">
        <w:rPr>
          <w:rFonts w:ascii="Times New Roman" w:hAnsi="Times New Roman" w:cs="Times New Roman"/>
          <w:position w:val="-16"/>
          <w:sz w:val="28"/>
          <w:szCs w:val="28"/>
          <w:lang w:val="ru-RU"/>
        </w:rPr>
        <w:object w:dxaOrig="1900" w:dyaOrig="420">
          <v:shape id="_x0000_i1034" type="#_x0000_t75" style="width:95.45pt;height:21.25pt" o:ole="">
            <v:imagedata r:id="rId29" o:title=""/>
          </v:shape>
          <o:OLEObject Type="Embed" ProgID="Equation.3" ShapeID="_x0000_i1034" DrawAspect="Content" ObjectID="_1563087555" r:id="rId30"/>
        </w:objec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B79AA" w:rsidRPr="00592832">
        <w:rPr>
          <w:rFonts w:ascii="Times New Roman" w:hAnsi="Times New Roman" w:cs="Times New Roman"/>
          <w:position w:val="-16"/>
          <w:sz w:val="28"/>
          <w:szCs w:val="28"/>
          <w:lang w:val="ru-RU"/>
        </w:rPr>
        <w:object w:dxaOrig="2020" w:dyaOrig="420">
          <v:shape id="_x0000_i1035" type="#_x0000_t75" style="width:101.45pt;height:21.25pt" o:ole="">
            <v:imagedata r:id="rId31" o:title=""/>
          </v:shape>
          <o:OLEObject Type="Embed" ProgID="Equation.3" ShapeID="_x0000_i1035" DrawAspect="Content" ObjectID="_1563087556" r:id="rId32"/>
        </w:objec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. Клеевым составом выбран клей </w:t>
      </w:r>
      <w:r w:rsidRPr="00592832">
        <w:rPr>
          <w:rFonts w:ascii="Times New Roman" w:hAnsi="Times New Roman" w:cs="Times New Roman"/>
          <w:sz w:val="28"/>
          <w:szCs w:val="28"/>
        </w:rPr>
        <w:t>Cytec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sz w:val="28"/>
          <w:szCs w:val="28"/>
        </w:rPr>
        <w:t>FM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>-73</w:t>
      </w:r>
      <w:r w:rsidRPr="00592832">
        <w:rPr>
          <w:rFonts w:ascii="Times New Roman" w:hAnsi="Times New Roman" w:cs="Times New Roman"/>
          <w:sz w:val="28"/>
          <w:szCs w:val="28"/>
        </w:rPr>
        <w:t>M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, механические свойства взяты из официальных данных производителя клеевого состава. Результаты сравнительного анализа, выполненного по расчетной схеме, приведены на рис. </w:t>
      </w:r>
      <w:r w:rsidR="00CD2246" w:rsidRPr="0059283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92832" w:rsidRPr="00592832" w:rsidRDefault="00592832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24BEE" w:rsidRPr="00592832" w:rsidRDefault="00BD6505" w:rsidP="00592832">
      <w:pPr>
        <w:pStyle w:val="a3"/>
        <w:keepNext/>
        <w:autoSpaceDE w:val="0"/>
        <w:autoSpaceDN w:val="0"/>
        <w:adjustRightInd w:val="0"/>
        <w:spacing w:line="360" w:lineRule="auto"/>
        <w:ind w:left="0"/>
        <w:jc w:val="center"/>
        <w:rPr>
          <w:sz w:val="28"/>
          <w:szCs w:val="28"/>
        </w:rPr>
      </w:pPr>
      <w:r w:rsidRPr="005928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52D2FB00" wp14:editId="02F414FB">
            <wp:extent cx="5652000" cy="3370546"/>
            <wp:effectExtent l="0" t="0" r="6350" b="1905"/>
            <wp:docPr id="1" name="Picture 1" descr="\\mow.boeing.ru\dfs\Home2\al626c\My Documents\My Pictures\Charts\Figure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\\mow.boeing.ru\dfs\Home2\al626c\My Documents\My Pictures\Charts\Figure 3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000" cy="3370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246" w:rsidRPr="00592832" w:rsidRDefault="00F24BEE" w:rsidP="00592832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</w:pP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>Рис</w:t>
      </w:r>
      <w:r w:rsidR="00592832"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>.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begin"/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instrText>SEQ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Рисунок \*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instrText>ARABIC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separate"/>
      </w:r>
      <w:r w:rsidRPr="00592832">
        <w:rPr>
          <w:rFonts w:ascii="Times New Roman" w:hAnsi="Times New Roman" w:cs="Times New Roman"/>
          <w:i w:val="0"/>
          <w:noProof/>
          <w:color w:val="auto"/>
          <w:sz w:val="24"/>
          <w:szCs w:val="28"/>
          <w:lang w:val="ru-RU"/>
        </w:rPr>
        <w:t>3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end"/>
      </w:r>
      <w:r w:rsidR="00592832"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</w:t>
      </w:r>
      <w:r w:rsidR="00592832" w:rsidRPr="00592832">
        <w:rPr>
          <w:rFonts w:ascii="Times New Roman" w:hAnsi="Times New Roman"/>
          <w:sz w:val="24"/>
          <w:szCs w:val="28"/>
          <w:lang w:val="ru-RU"/>
        </w:rPr>
        <w:t>–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Скорость роста трещины при клеевом ремонте заплатами из разных материалов</w:t>
      </w:r>
    </w:p>
    <w:p w:rsidR="00592832" w:rsidRDefault="00592832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11EB3" w:rsidRPr="00592832" w:rsidRDefault="00D11EB3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На рис. 4 представлен сравнительный график роста размера </w:t>
      </w:r>
      <w:r w:rsidR="00DA3260" w:rsidRPr="00592832">
        <w:rPr>
          <w:rFonts w:ascii="Times New Roman" w:hAnsi="Times New Roman" w:cs="Times New Roman"/>
          <w:sz w:val="28"/>
          <w:szCs w:val="28"/>
          <w:lang w:val="ru-RU"/>
        </w:rPr>
        <w:t>трещины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в зависимости от числа циклов приложенного </w:t>
      </w:r>
      <w:proofErr w:type="spellStart"/>
      <w:r w:rsidRPr="00592832">
        <w:rPr>
          <w:rFonts w:ascii="Times New Roman" w:hAnsi="Times New Roman" w:cs="Times New Roman"/>
          <w:sz w:val="28"/>
          <w:szCs w:val="28"/>
          <w:lang w:val="ru-RU"/>
        </w:rPr>
        <w:t>нагружения</w:t>
      </w:r>
      <w:proofErr w:type="spell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для случая </w:t>
      </w:r>
      <w:proofErr w:type="spellStart"/>
      <w:r w:rsidRPr="00592832">
        <w:rPr>
          <w:rFonts w:ascii="Times New Roman" w:hAnsi="Times New Roman" w:cs="Times New Roman"/>
          <w:sz w:val="28"/>
          <w:szCs w:val="28"/>
          <w:lang w:val="ru-RU"/>
        </w:rPr>
        <w:t>углепластиковой</w:t>
      </w:r>
      <w:proofErr w:type="spell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заплаты и зависимость для тех же условий с учетом деградации упругих свойств углепластика по данным проведенного эксперимента. На графике отмечены зависимости, отражающие анализ процесса развития трещины по нескольким методикам расчета эффективного размаха КИН в вершине трещины в алюминиевом сплаве при циклической растягивающей нагрузке. Точками отмечены</w:t>
      </w:r>
      <w:r w:rsidR="00333BA1"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данные натурного эксперимента</w:t>
      </w:r>
      <w:r w:rsidRPr="00592832">
        <w:rPr>
          <w:rFonts w:ascii="Times New Roman" w:hAnsi="Times New Roman" w:cs="Times New Roman"/>
          <w:sz w:val="28"/>
          <w:szCs w:val="28"/>
        </w:rPr>
        <w:t>.</w:t>
      </w:r>
    </w:p>
    <w:p w:rsidR="00F24BEE" w:rsidRPr="00592832" w:rsidRDefault="00F24BEE" w:rsidP="00592832">
      <w:pPr>
        <w:pStyle w:val="a3"/>
        <w:keepNext/>
        <w:autoSpaceDE w:val="0"/>
        <w:autoSpaceDN w:val="0"/>
        <w:adjustRightInd w:val="0"/>
        <w:spacing w:line="360" w:lineRule="auto"/>
        <w:ind w:left="0"/>
        <w:jc w:val="center"/>
        <w:rPr>
          <w:sz w:val="28"/>
          <w:szCs w:val="28"/>
        </w:rPr>
      </w:pPr>
      <w:r w:rsidRPr="005928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8D59CD3" wp14:editId="65EE3AF8">
            <wp:extent cx="5364000" cy="3534555"/>
            <wp:effectExtent l="0" t="0" r="8255" b="8890"/>
            <wp:docPr id="2" name="Picture 2" descr="\\mow.boeing.ru\dfs\Home2\al626c\My Documents\My Pictures\Charts\Figure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\mow.boeing.ru\dfs\Home2\al626c\My Documents\My Pictures\Charts\Figure 4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000" cy="353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246" w:rsidRDefault="00F24BEE" w:rsidP="00592832">
      <w:pPr>
        <w:pStyle w:val="a7"/>
        <w:spacing w:after="0" w:line="276" w:lineRule="auto"/>
        <w:ind w:left="0"/>
        <w:jc w:val="center"/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</w:pP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>Рис</w:t>
      </w:r>
      <w:r w:rsidR="00592832"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>.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begin"/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instrText>SEQ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Рисунок \*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instrText>ARABIC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instrText xml:space="preserve"> </w:instrTex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separate"/>
      </w:r>
      <w:r w:rsidRPr="00592832">
        <w:rPr>
          <w:rFonts w:ascii="Times New Roman" w:hAnsi="Times New Roman" w:cs="Times New Roman"/>
          <w:i w:val="0"/>
          <w:noProof/>
          <w:color w:val="auto"/>
          <w:sz w:val="24"/>
          <w:szCs w:val="28"/>
          <w:lang w:val="ru-RU"/>
        </w:rPr>
        <w:t>4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</w:rPr>
        <w:fldChar w:fldCharType="end"/>
      </w:r>
      <w:r w:rsidR="00592832"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</w:t>
      </w:r>
      <w:r w:rsidR="00592832" w:rsidRPr="00592832">
        <w:rPr>
          <w:rFonts w:ascii="Times New Roman" w:hAnsi="Times New Roman"/>
          <w:sz w:val="24"/>
          <w:szCs w:val="28"/>
          <w:lang w:val="ru-RU"/>
        </w:rPr>
        <w:t>–</w:t>
      </w:r>
      <w:r w:rsidRPr="00592832">
        <w:rPr>
          <w:rFonts w:ascii="Times New Roman" w:hAnsi="Times New Roman" w:cs="Times New Roman"/>
          <w:i w:val="0"/>
          <w:color w:val="auto"/>
          <w:sz w:val="24"/>
          <w:szCs w:val="28"/>
          <w:lang w:val="ru-RU"/>
        </w:rPr>
        <w:t xml:space="preserve"> Скорость роста трещины при клеевом ремонте с учетом деградации свойств материала заплаты</w:t>
      </w:r>
    </w:p>
    <w:p w:rsidR="00592832" w:rsidRPr="00592832" w:rsidRDefault="00592832" w:rsidP="00592832">
      <w:pPr>
        <w:rPr>
          <w:lang w:val="ru-RU"/>
        </w:rPr>
      </w:pPr>
    </w:p>
    <w:p w:rsidR="00CD1162" w:rsidRPr="00592832" w:rsidRDefault="00CD1162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Таким образом, из графиков на рис. 4 можно сделать вывод, что построенный алгоритм дает хорошее совпадение результатов расчета с результатами натурного эксперимента. Учет данных по изменению упругих свойств материала ремонтной заплаты позволяет оценить скорость развития повреждения с некоторым запасом, что </w:t>
      </w:r>
      <w:r w:rsidR="0041292D" w:rsidRPr="00592832">
        <w:rPr>
          <w:rFonts w:ascii="Times New Roman" w:hAnsi="Times New Roman" w:cs="Times New Roman"/>
          <w:sz w:val="28"/>
          <w:szCs w:val="28"/>
          <w:lang w:val="ru-RU"/>
        </w:rPr>
        <w:t>позволит задавать экономически целесообразный интервал инспекции места проведенного ремонта.</w:t>
      </w:r>
    </w:p>
    <w:p w:rsidR="00CD2246" w:rsidRPr="00592832" w:rsidRDefault="00CD2246" w:rsidP="00592832">
      <w:pPr>
        <w:pStyle w:val="a3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74E1" w:rsidRPr="00592832" w:rsidRDefault="00592832" w:rsidP="00592832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Выводы</w:t>
      </w:r>
    </w:p>
    <w:p w:rsidR="005374E1" w:rsidRPr="00592832" w:rsidRDefault="005374E1" w:rsidP="00592832">
      <w:p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Построенная расчетная модель клеевого ремонта позволяет производить сравнительный анализ эффективности ремонтных заплат на этапе проектировочного расчета. Для более реалистичного определения эффективности клеевого ремонта в расчет необходимо включать функцию изменения свойств материала от величины циклов </w:t>
      </w:r>
      <w:proofErr w:type="spellStart"/>
      <w:r w:rsidRPr="00592832">
        <w:rPr>
          <w:rFonts w:ascii="Times New Roman" w:hAnsi="Times New Roman" w:cs="Times New Roman"/>
          <w:sz w:val="28"/>
          <w:szCs w:val="28"/>
          <w:lang w:val="ru-RU"/>
        </w:rPr>
        <w:t>нагружения</w:t>
      </w:r>
      <w:proofErr w:type="spell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: пренебрежение этой информацией может привести к установлению неадекватных интервалов осмотра места повреждения и повлиять на экономические показатели эксплуатации ЛА и безопасность полетов. </w:t>
      </w:r>
    </w:p>
    <w:p w:rsidR="00877F77" w:rsidRPr="00592832" w:rsidRDefault="005374E1" w:rsidP="00592832">
      <w:p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Предложенная методика расчета клеевых ремонтов позволяет оперативно производить анализ возможных случаев повреждения конструкции и подбирать оптимальный вариант установки заплаты с учетом </w:t>
      </w:r>
      <w:proofErr w:type="gramStart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влияния фактора </w:t>
      </w:r>
      <w:r w:rsidR="00CD1162" w:rsidRPr="00592832">
        <w:rPr>
          <w:rFonts w:ascii="Times New Roman" w:hAnsi="Times New Roman" w:cs="Times New Roman"/>
          <w:sz w:val="28"/>
          <w:szCs w:val="28"/>
          <w:lang w:val="ru-RU"/>
        </w:rPr>
        <w:t>деградации свойств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материала</w:t>
      </w:r>
      <w:proofErr w:type="gram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под действием циклических нагрузок.</w:t>
      </w:r>
    </w:p>
    <w:p w:rsidR="00AF3364" w:rsidRPr="00592832" w:rsidRDefault="00AF3364" w:rsidP="00592832">
      <w:p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7F77" w:rsidRPr="00592832" w:rsidRDefault="00592832" w:rsidP="00592832">
      <w:p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Литература</w:t>
      </w:r>
    </w:p>
    <w:p w:rsidR="00877F77" w:rsidRPr="00592832" w:rsidRDefault="00877F77" w:rsidP="00592832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>Куликов В.В., Петрова А.П. Применение клеев при ремонте авиационной техники. (Обзор литературы) // Ремонт. Восстановление. Модернизация. – 2017. – №2. – С. 21</w:t>
      </w:r>
      <w:r w:rsidR="00592832">
        <w:rPr>
          <w:rFonts w:ascii="Times New Roman" w:hAnsi="Times New Roman"/>
          <w:sz w:val="28"/>
          <w:szCs w:val="28"/>
        </w:rPr>
        <w:t>–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>27.</w:t>
      </w:r>
    </w:p>
    <w:p w:rsidR="00877F77" w:rsidRPr="00592832" w:rsidRDefault="00877F77" w:rsidP="00592832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</w:rPr>
        <w:t xml:space="preserve">Baker A.A. Repair of metallic airframe components using </w:t>
      </w:r>
      <w:proofErr w:type="spellStart"/>
      <w:r w:rsidRPr="00592832">
        <w:rPr>
          <w:rFonts w:ascii="Times New Roman" w:hAnsi="Times New Roman" w:cs="Times New Roman"/>
          <w:sz w:val="28"/>
          <w:szCs w:val="28"/>
        </w:rPr>
        <w:t>fibre</w:t>
      </w:r>
      <w:proofErr w:type="spellEnd"/>
      <w:r w:rsidRPr="00592832">
        <w:rPr>
          <w:rFonts w:ascii="Times New Roman" w:hAnsi="Times New Roman" w:cs="Times New Roman"/>
          <w:sz w:val="28"/>
          <w:szCs w:val="28"/>
        </w:rPr>
        <w:t xml:space="preserve">-reinforced polymer (FRP) composites. Rehabilitation of Metallic Civil Infrastructure Using Fiber Reinforced Polymer (FRP) Composites. </w:t>
      </w:r>
      <w:proofErr w:type="spellStart"/>
      <w:r w:rsidRPr="00592832">
        <w:rPr>
          <w:rFonts w:ascii="Times New Roman" w:hAnsi="Times New Roman" w:cs="Times New Roman"/>
          <w:sz w:val="28"/>
          <w:szCs w:val="28"/>
        </w:rPr>
        <w:t>Woodhead</w:t>
      </w:r>
      <w:proofErr w:type="spellEnd"/>
      <w:r w:rsidRPr="00592832">
        <w:rPr>
          <w:rFonts w:ascii="Times New Roman" w:hAnsi="Times New Roman" w:cs="Times New Roman"/>
          <w:sz w:val="28"/>
          <w:szCs w:val="28"/>
        </w:rPr>
        <w:t xml:space="preserve"> Publishing Ltd. 2014, pp. 11</w:t>
      </w:r>
      <w:r w:rsidR="00592832">
        <w:rPr>
          <w:rFonts w:ascii="Times New Roman" w:hAnsi="Times New Roman"/>
          <w:sz w:val="28"/>
          <w:szCs w:val="28"/>
        </w:rPr>
        <w:t>–</w:t>
      </w:r>
      <w:r w:rsidRPr="00592832">
        <w:rPr>
          <w:rFonts w:ascii="Times New Roman" w:hAnsi="Times New Roman" w:cs="Times New Roman"/>
          <w:sz w:val="28"/>
          <w:szCs w:val="28"/>
        </w:rPr>
        <w:t>59</w:t>
      </w:r>
      <w:r w:rsidR="007324E2" w:rsidRPr="005928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24E2" w:rsidRPr="00592832" w:rsidRDefault="007324E2" w:rsidP="00592832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Назаров С.А. Теорема </w:t>
      </w:r>
      <w:proofErr w:type="spellStart"/>
      <w:r w:rsidRPr="00592832">
        <w:rPr>
          <w:rFonts w:ascii="Times New Roman" w:hAnsi="Times New Roman" w:cs="Times New Roman"/>
          <w:sz w:val="28"/>
          <w:szCs w:val="28"/>
          <w:lang w:val="ru-RU"/>
        </w:rPr>
        <w:t>Эшелби</w:t>
      </w:r>
      <w:proofErr w:type="spellEnd"/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и задача об оптимальной заплате // Алгебра и анализ. – 2009. </w:t>
      </w:r>
      <w:r w:rsidR="00F073CF" w:rsidRPr="00592832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Т. 21. </w:t>
      </w:r>
      <w:r w:rsidR="00F073CF" w:rsidRPr="00592832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 №5. – С. 155</w:t>
      </w:r>
      <w:r w:rsidR="00592832" w:rsidRPr="00592832">
        <w:rPr>
          <w:rFonts w:ascii="Times New Roman" w:hAnsi="Times New Roman"/>
          <w:sz w:val="28"/>
          <w:szCs w:val="28"/>
          <w:lang w:val="ru-RU"/>
        </w:rPr>
        <w:t>–</w:t>
      </w:r>
      <w:r w:rsidRPr="00592832">
        <w:rPr>
          <w:rFonts w:ascii="Times New Roman" w:hAnsi="Times New Roman" w:cs="Times New Roman"/>
          <w:sz w:val="28"/>
          <w:szCs w:val="28"/>
          <w:lang w:val="ru-RU"/>
        </w:rPr>
        <w:t>195.</w:t>
      </w:r>
    </w:p>
    <w:p w:rsidR="007324E2" w:rsidRPr="00592832" w:rsidRDefault="007324E2" w:rsidP="00592832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  <w:lang w:val="ru-RU"/>
        </w:rPr>
        <w:t xml:space="preserve">Гольдштейн Р.В., Шифрин Е.И. Интегральные уравнения задачи об упругом включении. Полное аналитическое решение задачи об эллиптическом включении // Известия РАН. Механика твердого тела. </w:t>
      </w:r>
      <w:r w:rsidR="00F073CF" w:rsidRPr="00592832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92832">
        <w:rPr>
          <w:rFonts w:ascii="Times New Roman" w:hAnsi="Times New Roman" w:cs="Times New Roman"/>
          <w:sz w:val="28"/>
          <w:szCs w:val="28"/>
        </w:rPr>
        <w:t xml:space="preserve"> 2004. </w:t>
      </w:r>
      <w:r w:rsidR="00F073CF" w:rsidRPr="00592832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92832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EA33C7" w:rsidRPr="00592832" w:rsidRDefault="00EA33C7" w:rsidP="00592832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</w:rPr>
        <w:t>Wang C.H., Rose L.R.F. A crack bridging model for bonded plates subjected to tension and bending. International Journal of Solids and Structure. 1999, vol. 36, pp. 1985</w:t>
      </w:r>
      <w:r w:rsidR="00592832">
        <w:rPr>
          <w:rFonts w:ascii="Times New Roman" w:hAnsi="Times New Roman"/>
          <w:sz w:val="28"/>
          <w:szCs w:val="28"/>
        </w:rPr>
        <w:t>–</w:t>
      </w:r>
      <w:r w:rsidRPr="00592832">
        <w:rPr>
          <w:rFonts w:ascii="Times New Roman" w:hAnsi="Times New Roman" w:cs="Times New Roman"/>
          <w:sz w:val="28"/>
          <w:szCs w:val="28"/>
        </w:rPr>
        <w:t>2014.</w:t>
      </w:r>
    </w:p>
    <w:p w:rsidR="001A1178" w:rsidRPr="00592832" w:rsidRDefault="00AF3364" w:rsidP="00592832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2832">
        <w:rPr>
          <w:rFonts w:ascii="Times New Roman" w:hAnsi="Times New Roman" w:cs="Times New Roman"/>
          <w:sz w:val="28"/>
          <w:szCs w:val="28"/>
        </w:rPr>
        <w:t>7075-T6 and 2024-T351 Aluminum Alloy Fatigue Crack Growth Rate Data. NASA report TM-2005-213907. 2005.</w:t>
      </w:r>
    </w:p>
    <w:sectPr w:rsidR="001A1178" w:rsidRPr="00592832" w:rsidSect="00592832">
      <w:footerReference w:type="default" r:id="rId35"/>
      <w:pgSz w:w="11906" w:h="16838"/>
      <w:pgMar w:top="1418" w:right="1418" w:bottom="1418" w:left="141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832" w:rsidRDefault="00592832" w:rsidP="00592832">
      <w:r>
        <w:separator/>
      </w:r>
    </w:p>
  </w:endnote>
  <w:endnote w:type="continuationSeparator" w:id="0">
    <w:p w:rsidR="00592832" w:rsidRDefault="00592832" w:rsidP="0059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4623133"/>
      <w:docPartObj>
        <w:docPartGallery w:val="Page Numbers (Bottom of Page)"/>
        <w:docPartUnique/>
      </w:docPartObj>
    </w:sdtPr>
    <w:sdtContent>
      <w:p w:rsidR="00592832" w:rsidRDefault="00592832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92832">
          <w:rPr>
            <w:noProof/>
            <w:lang w:val="ru-RU"/>
          </w:rPr>
          <w:t>9</w:t>
        </w:r>
        <w:r>
          <w:fldChar w:fldCharType="end"/>
        </w:r>
      </w:p>
    </w:sdtContent>
  </w:sdt>
  <w:p w:rsidR="00592832" w:rsidRDefault="0059283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832" w:rsidRDefault="00592832" w:rsidP="00592832">
      <w:r>
        <w:separator/>
      </w:r>
    </w:p>
  </w:footnote>
  <w:footnote w:type="continuationSeparator" w:id="0">
    <w:p w:rsidR="00592832" w:rsidRDefault="00592832" w:rsidP="00592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2B51"/>
    <w:multiLevelType w:val="multilevel"/>
    <w:tmpl w:val="52B2C6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>
    <w:nsid w:val="31890989"/>
    <w:multiLevelType w:val="multilevel"/>
    <w:tmpl w:val="1D94F7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2">
    <w:nsid w:val="44B51E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B8E3B10"/>
    <w:multiLevelType w:val="hybridMultilevel"/>
    <w:tmpl w:val="FA96F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F4196"/>
    <w:multiLevelType w:val="hybridMultilevel"/>
    <w:tmpl w:val="BA56FAEA"/>
    <w:lvl w:ilvl="0" w:tplc="CBA2C12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667575B"/>
    <w:multiLevelType w:val="multilevel"/>
    <w:tmpl w:val="EA741A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6BB721EE"/>
    <w:multiLevelType w:val="hybridMultilevel"/>
    <w:tmpl w:val="D146F9C0"/>
    <w:lvl w:ilvl="0" w:tplc="C86A3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64D0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6C09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B6C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9A68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5C56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6C5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7E92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600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FB3910"/>
    <w:multiLevelType w:val="hybridMultilevel"/>
    <w:tmpl w:val="F2DA39B4"/>
    <w:lvl w:ilvl="0" w:tplc="411898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F77"/>
    <w:rsid w:val="000B5718"/>
    <w:rsid w:val="00266622"/>
    <w:rsid w:val="00333BA1"/>
    <w:rsid w:val="00354F66"/>
    <w:rsid w:val="0041292D"/>
    <w:rsid w:val="005374E1"/>
    <w:rsid w:val="00571B98"/>
    <w:rsid w:val="00592832"/>
    <w:rsid w:val="00691902"/>
    <w:rsid w:val="006A63C7"/>
    <w:rsid w:val="006F5379"/>
    <w:rsid w:val="007324E2"/>
    <w:rsid w:val="007C0F39"/>
    <w:rsid w:val="0085079F"/>
    <w:rsid w:val="00877F77"/>
    <w:rsid w:val="009458D8"/>
    <w:rsid w:val="009610B4"/>
    <w:rsid w:val="00A00D9C"/>
    <w:rsid w:val="00A22BEB"/>
    <w:rsid w:val="00A86C6D"/>
    <w:rsid w:val="00AF3364"/>
    <w:rsid w:val="00B14D9B"/>
    <w:rsid w:val="00BD6505"/>
    <w:rsid w:val="00BF1D68"/>
    <w:rsid w:val="00CD1162"/>
    <w:rsid w:val="00CD2246"/>
    <w:rsid w:val="00CD2722"/>
    <w:rsid w:val="00D11EB3"/>
    <w:rsid w:val="00D9310B"/>
    <w:rsid w:val="00DA3260"/>
    <w:rsid w:val="00EA33C7"/>
    <w:rsid w:val="00EF6B8A"/>
    <w:rsid w:val="00F073CF"/>
    <w:rsid w:val="00F24BEE"/>
    <w:rsid w:val="00FB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77"/>
    <w:pPr>
      <w:spacing w:after="0" w:line="240" w:lineRule="auto"/>
      <w:ind w:left="4507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F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74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4E1"/>
    <w:rPr>
      <w:rFonts w:ascii="Tahoma" w:hAnsi="Tahoma" w:cs="Tahoma"/>
      <w:sz w:val="16"/>
      <w:szCs w:val="16"/>
      <w:lang w:val="en-US"/>
    </w:rPr>
  </w:style>
  <w:style w:type="character" w:styleId="a6">
    <w:name w:val="Hyperlink"/>
    <w:uiPriority w:val="99"/>
    <w:unhideWhenUsed/>
    <w:rsid w:val="00A86C6D"/>
    <w:rPr>
      <w:color w:val="0000FF"/>
      <w:u w:val="single"/>
    </w:rPr>
  </w:style>
  <w:style w:type="paragraph" w:styleId="a7">
    <w:name w:val="caption"/>
    <w:basedOn w:val="a"/>
    <w:next w:val="a"/>
    <w:uiPriority w:val="35"/>
    <w:unhideWhenUsed/>
    <w:qFormat/>
    <w:rsid w:val="000B5718"/>
    <w:pPr>
      <w:spacing w:after="200"/>
    </w:pPr>
    <w:rPr>
      <w:i/>
      <w:iCs/>
      <w:color w:val="1F497D" w:themeColor="text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928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2832"/>
    <w:rPr>
      <w:lang w:val="en-US"/>
    </w:rPr>
  </w:style>
  <w:style w:type="paragraph" w:styleId="aa">
    <w:name w:val="footer"/>
    <w:basedOn w:val="a"/>
    <w:link w:val="ab"/>
    <w:uiPriority w:val="99"/>
    <w:unhideWhenUsed/>
    <w:rsid w:val="005928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2832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77"/>
    <w:pPr>
      <w:spacing w:after="0" w:line="240" w:lineRule="auto"/>
      <w:ind w:left="4507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F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74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4E1"/>
    <w:rPr>
      <w:rFonts w:ascii="Tahoma" w:hAnsi="Tahoma" w:cs="Tahoma"/>
      <w:sz w:val="16"/>
      <w:szCs w:val="16"/>
      <w:lang w:val="en-US"/>
    </w:rPr>
  </w:style>
  <w:style w:type="character" w:styleId="a6">
    <w:name w:val="Hyperlink"/>
    <w:uiPriority w:val="99"/>
    <w:unhideWhenUsed/>
    <w:rsid w:val="00A86C6D"/>
    <w:rPr>
      <w:color w:val="0000FF"/>
      <w:u w:val="single"/>
    </w:rPr>
  </w:style>
  <w:style w:type="paragraph" w:styleId="a7">
    <w:name w:val="caption"/>
    <w:basedOn w:val="a"/>
    <w:next w:val="a"/>
    <w:uiPriority w:val="35"/>
    <w:unhideWhenUsed/>
    <w:qFormat/>
    <w:rsid w:val="000B5718"/>
    <w:pPr>
      <w:spacing w:after="200"/>
    </w:pPr>
    <w:rPr>
      <w:i/>
      <w:iCs/>
      <w:color w:val="1F497D" w:themeColor="text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928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2832"/>
    <w:rPr>
      <w:lang w:val="en-US"/>
    </w:rPr>
  </w:style>
  <w:style w:type="paragraph" w:styleId="aa">
    <w:name w:val="footer"/>
    <w:basedOn w:val="a"/>
    <w:link w:val="ab"/>
    <w:uiPriority w:val="99"/>
    <w:unhideWhenUsed/>
    <w:rsid w:val="005928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283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34" Type="http://schemas.openxmlformats.org/officeDocument/2006/relationships/image" Target="media/image16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1676</Words>
  <Characters>9555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Маргарита Сергеевна Закржевская</cp:lastModifiedBy>
  <cp:revision>3</cp:revision>
  <dcterms:created xsi:type="dcterms:W3CDTF">2017-07-03T10:06:00Z</dcterms:created>
  <dcterms:modified xsi:type="dcterms:W3CDTF">2017-08-01T07:13:00Z</dcterms:modified>
</cp:coreProperties>
</file>